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1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DBF" w:rsidRPr="00CC1DBF" w:rsidRDefault="00CC1DBF" w:rsidP="00CC1DB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1DBF">
        <w:rPr>
          <w:rFonts w:ascii="Times New Roman" w:hAnsi="Times New Roman" w:cs="Times New Roman"/>
          <w:b/>
          <w:sz w:val="28"/>
          <w:szCs w:val="28"/>
        </w:rPr>
        <w:t>Практическая работа 1 «Росстат»</w:t>
      </w:r>
    </w:p>
    <w:p w:rsidR="00CC1DBF" w:rsidRPr="00CC1DBF" w:rsidRDefault="00CC1DBF" w:rsidP="00CC1DB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1DBF">
        <w:rPr>
          <w:rFonts w:ascii="Times New Roman" w:hAnsi="Times New Roman" w:cs="Times New Roman"/>
          <w:sz w:val="28"/>
          <w:szCs w:val="28"/>
        </w:rPr>
        <w:t>1.Заходим в сайт Росстата</w:t>
      </w:r>
    </w:p>
    <w:p w:rsidR="00CC1DBF" w:rsidRPr="00CC1DBF" w:rsidRDefault="00CC1DBF" w:rsidP="00CC1DB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1DBF">
        <w:rPr>
          <w:rFonts w:ascii="Times New Roman" w:hAnsi="Times New Roman" w:cs="Times New Roman"/>
          <w:sz w:val="28"/>
          <w:szCs w:val="28"/>
        </w:rPr>
        <w:t>https://rosstat.gov.ru/mission</w:t>
      </w:r>
    </w:p>
    <w:p w:rsidR="00CC1DBF" w:rsidRPr="00CC1DBF" w:rsidRDefault="00CC1DBF" w:rsidP="00CC1DB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1DBF">
        <w:rPr>
          <w:rFonts w:ascii="Times New Roman" w:hAnsi="Times New Roman" w:cs="Times New Roman"/>
          <w:sz w:val="28"/>
          <w:szCs w:val="28"/>
        </w:rPr>
        <w:t>Находим на сайте следующие материалы:</w:t>
      </w:r>
    </w:p>
    <w:p w:rsidR="00CC1DBF" w:rsidRPr="00CC1DBF" w:rsidRDefault="00CC1DBF" w:rsidP="00AF131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1DBF">
        <w:rPr>
          <w:rFonts w:ascii="Times New Roman" w:hAnsi="Times New Roman" w:cs="Times New Roman"/>
          <w:sz w:val="28"/>
          <w:szCs w:val="28"/>
        </w:rPr>
        <w:t>1)</w:t>
      </w:r>
      <w:r w:rsidRPr="00CC1DBF">
        <w:rPr>
          <w:rFonts w:ascii="Times New Roman" w:hAnsi="Times New Roman" w:cs="Times New Roman"/>
          <w:sz w:val="28"/>
          <w:szCs w:val="28"/>
        </w:rPr>
        <w:tab/>
        <w:t>Предназначение организации</w:t>
      </w:r>
    </w:p>
    <w:p w:rsidR="00CC1DBF" w:rsidRPr="00CC1DBF" w:rsidRDefault="00CC1DBF" w:rsidP="00AF131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1DBF">
        <w:rPr>
          <w:rFonts w:ascii="Times New Roman" w:hAnsi="Times New Roman" w:cs="Times New Roman"/>
          <w:sz w:val="28"/>
          <w:szCs w:val="28"/>
        </w:rPr>
        <w:t>2)</w:t>
      </w:r>
      <w:r w:rsidRPr="00CC1DBF">
        <w:rPr>
          <w:rFonts w:ascii="Times New Roman" w:hAnsi="Times New Roman" w:cs="Times New Roman"/>
          <w:sz w:val="28"/>
          <w:szCs w:val="28"/>
        </w:rPr>
        <w:tab/>
        <w:t>Подчинение</w:t>
      </w:r>
    </w:p>
    <w:p w:rsidR="00CC1DBF" w:rsidRPr="00CC1DBF" w:rsidRDefault="00CC1DBF" w:rsidP="00AF131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1DBF">
        <w:rPr>
          <w:rFonts w:ascii="Times New Roman" w:hAnsi="Times New Roman" w:cs="Times New Roman"/>
          <w:sz w:val="28"/>
          <w:szCs w:val="28"/>
        </w:rPr>
        <w:t>3)</w:t>
      </w:r>
      <w:r w:rsidRPr="00CC1DBF">
        <w:rPr>
          <w:rFonts w:ascii="Times New Roman" w:hAnsi="Times New Roman" w:cs="Times New Roman"/>
          <w:sz w:val="28"/>
          <w:szCs w:val="28"/>
        </w:rPr>
        <w:tab/>
        <w:t>Функции организации</w:t>
      </w:r>
    </w:p>
    <w:p w:rsidR="00CC1DBF" w:rsidRPr="00CC1DBF" w:rsidRDefault="00CC1DBF" w:rsidP="00AF131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1DBF">
        <w:rPr>
          <w:rFonts w:ascii="Times New Roman" w:hAnsi="Times New Roman" w:cs="Times New Roman"/>
          <w:sz w:val="28"/>
          <w:szCs w:val="28"/>
        </w:rPr>
        <w:t>4)</w:t>
      </w:r>
      <w:r w:rsidRPr="00CC1DBF">
        <w:rPr>
          <w:rFonts w:ascii="Times New Roman" w:hAnsi="Times New Roman" w:cs="Times New Roman"/>
          <w:sz w:val="28"/>
          <w:szCs w:val="28"/>
        </w:rPr>
        <w:tab/>
        <w:t>Статистические управления</w:t>
      </w:r>
    </w:p>
    <w:p w:rsidR="00CC1DBF" w:rsidRPr="00CC1DBF" w:rsidRDefault="00CC1DBF" w:rsidP="00AF131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1DBF">
        <w:rPr>
          <w:rFonts w:ascii="Times New Roman" w:hAnsi="Times New Roman" w:cs="Times New Roman"/>
          <w:sz w:val="28"/>
          <w:szCs w:val="28"/>
        </w:rPr>
        <w:t>5)</w:t>
      </w:r>
      <w:r w:rsidRPr="00CC1DB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Стратегия Росстата до 2024 года</w:t>
      </w:r>
    </w:p>
    <w:p w:rsidR="00CC1DBF" w:rsidRPr="00CC1DBF" w:rsidRDefault="00CC1DBF" w:rsidP="00CC1DB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1DBF">
        <w:rPr>
          <w:rFonts w:ascii="Times New Roman" w:hAnsi="Times New Roman" w:cs="Times New Roman"/>
          <w:sz w:val="28"/>
          <w:szCs w:val="28"/>
        </w:rPr>
        <w:t>2. На странице сайта находим «Российский статистический ежегодник»</w:t>
      </w:r>
    </w:p>
    <w:p w:rsidR="00CC1DBF" w:rsidRPr="00CC1DBF" w:rsidRDefault="00CC1DBF" w:rsidP="00CC1DB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1DBF">
        <w:rPr>
          <w:rFonts w:ascii="Times New Roman" w:hAnsi="Times New Roman" w:cs="Times New Roman"/>
          <w:sz w:val="28"/>
          <w:szCs w:val="28"/>
        </w:rPr>
        <w:t>https://rosstat.gov.ru/folder/210</w:t>
      </w:r>
    </w:p>
    <w:p w:rsidR="00CC1DBF" w:rsidRDefault="00CC1DBF" w:rsidP="00CC1DB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1DBF">
        <w:rPr>
          <w:rFonts w:ascii="Times New Roman" w:hAnsi="Times New Roman" w:cs="Times New Roman"/>
          <w:sz w:val="28"/>
          <w:szCs w:val="28"/>
        </w:rPr>
        <w:t xml:space="preserve">В части 16 находим таблицу 16.2 «Распределение предприятий и организаций по формам собственности», выделяем из нее важнейшие показатели и составляем из них таблицу в файле </w:t>
      </w:r>
      <w:proofErr w:type="spellStart"/>
      <w:r w:rsidRPr="00CC1DBF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CC1DB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83CB8" w:rsidRDefault="00CC1DBF" w:rsidP="00CC1DB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1DBF">
        <w:rPr>
          <w:rFonts w:ascii="Times New Roman" w:hAnsi="Times New Roman" w:cs="Times New Roman"/>
          <w:sz w:val="28"/>
          <w:szCs w:val="28"/>
        </w:rPr>
        <w:t>Строки и столбцы,</w:t>
      </w:r>
      <w:r w:rsidR="00D36DAC">
        <w:rPr>
          <w:rFonts w:ascii="Times New Roman" w:hAnsi="Times New Roman" w:cs="Times New Roman"/>
          <w:sz w:val="28"/>
          <w:szCs w:val="28"/>
        </w:rPr>
        <w:t xml:space="preserve"> по которым собираем информацию в дальнейшим по данным показателям будет строить графики: </w:t>
      </w:r>
    </w:p>
    <w:p w:rsidR="00AF1318" w:rsidRPr="00AF1318" w:rsidRDefault="00AF1318" w:rsidP="00CC1DB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1318">
        <w:rPr>
          <w:rFonts w:ascii="Times New Roman" w:hAnsi="Times New Roman" w:cs="Times New Roman"/>
          <w:b/>
          <w:sz w:val="28"/>
          <w:szCs w:val="28"/>
        </w:rPr>
        <w:t xml:space="preserve">Таблица 1. </w:t>
      </w:r>
      <w:r>
        <w:rPr>
          <w:rFonts w:ascii="Times New Roman" w:hAnsi="Times New Roman" w:cs="Times New Roman"/>
          <w:b/>
          <w:sz w:val="28"/>
          <w:szCs w:val="28"/>
        </w:rPr>
        <w:t xml:space="preserve">Число предприятий. </w:t>
      </w:r>
    </w:p>
    <w:tbl>
      <w:tblPr>
        <w:tblStyle w:val="a3"/>
        <w:tblW w:w="11105" w:type="dxa"/>
        <w:tblInd w:w="-1565" w:type="dxa"/>
        <w:tblLayout w:type="fixed"/>
        <w:tblLook w:val="04A0" w:firstRow="1" w:lastRow="0" w:firstColumn="1" w:lastColumn="0" w:noHBand="0" w:noVBand="1"/>
      </w:tblPr>
      <w:tblGrid>
        <w:gridCol w:w="2362"/>
        <w:gridCol w:w="841"/>
        <w:gridCol w:w="877"/>
        <w:gridCol w:w="776"/>
        <w:gridCol w:w="992"/>
        <w:gridCol w:w="832"/>
        <w:gridCol w:w="107"/>
        <w:gridCol w:w="1079"/>
        <w:gridCol w:w="776"/>
        <w:gridCol w:w="776"/>
        <w:gridCol w:w="827"/>
        <w:gridCol w:w="860"/>
      </w:tblGrid>
      <w:tr w:rsidR="00FC3611" w:rsidTr="00FC3611">
        <w:tc>
          <w:tcPr>
            <w:tcW w:w="2362" w:type="dxa"/>
            <w:vMerge w:val="restart"/>
          </w:tcPr>
          <w:p w:rsidR="00DF41ED" w:rsidRPr="00DF41ED" w:rsidRDefault="00DF41ED" w:rsidP="00DF41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8" w:type="dxa"/>
            <w:gridSpan w:val="5"/>
          </w:tcPr>
          <w:p w:rsidR="00DF41ED" w:rsidRPr="00DF41ED" w:rsidRDefault="00FC3611" w:rsidP="00FC36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Тысяч </w:t>
            </w:r>
          </w:p>
        </w:tc>
        <w:tc>
          <w:tcPr>
            <w:tcW w:w="4425" w:type="dxa"/>
            <w:gridSpan w:val="6"/>
            <w:shd w:val="clear" w:color="auto" w:fill="auto"/>
          </w:tcPr>
          <w:p w:rsidR="00FC3611" w:rsidRDefault="00FC36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процентах к итогу </w:t>
            </w:r>
          </w:p>
        </w:tc>
      </w:tr>
      <w:tr w:rsidR="00DF41ED" w:rsidTr="00DF41ED">
        <w:tc>
          <w:tcPr>
            <w:tcW w:w="2362" w:type="dxa"/>
            <w:vMerge/>
          </w:tcPr>
          <w:p w:rsidR="00DF41ED" w:rsidRPr="00DF41ED" w:rsidRDefault="00DF41ED" w:rsidP="00DF41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1" w:type="dxa"/>
          </w:tcPr>
          <w:p w:rsidR="00DF41ED" w:rsidRPr="00DF41ED" w:rsidRDefault="00DF41ED" w:rsidP="00DF41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41ED"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</w:p>
        </w:tc>
        <w:tc>
          <w:tcPr>
            <w:tcW w:w="877" w:type="dxa"/>
          </w:tcPr>
          <w:p w:rsidR="00DF41ED" w:rsidRPr="00DF41ED" w:rsidRDefault="00DF41ED" w:rsidP="00DF41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41ED"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776" w:type="dxa"/>
          </w:tcPr>
          <w:p w:rsidR="00DF41ED" w:rsidRPr="00DF41ED" w:rsidRDefault="00DF41ED" w:rsidP="00DF41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41ED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992" w:type="dxa"/>
          </w:tcPr>
          <w:p w:rsidR="00DF41ED" w:rsidRPr="00DF41ED" w:rsidRDefault="00DF41ED" w:rsidP="00DF41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41ED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939" w:type="dxa"/>
            <w:gridSpan w:val="2"/>
          </w:tcPr>
          <w:p w:rsidR="00DF41ED" w:rsidRPr="00DF41ED" w:rsidRDefault="00DF41ED" w:rsidP="00DF41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41ED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1079" w:type="dxa"/>
          </w:tcPr>
          <w:p w:rsidR="00DF41ED" w:rsidRPr="00DF41ED" w:rsidRDefault="00DF41ED" w:rsidP="00DF41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41ED"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</w:p>
        </w:tc>
        <w:tc>
          <w:tcPr>
            <w:tcW w:w="776" w:type="dxa"/>
          </w:tcPr>
          <w:p w:rsidR="00DF41ED" w:rsidRPr="00DF41ED" w:rsidRDefault="00DF41ED" w:rsidP="00DF41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41ED"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776" w:type="dxa"/>
          </w:tcPr>
          <w:p w:rsidR="00DF41ED" w:rsidRPr="00DF41ED" w:rsidRDefault="00DF41ED" w:rsidP="00DF41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41ED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827" w:type="dxa"/>
          </w:tcPr>
          <w:p w:rsidR="00DF41ED" w:rsidRPr="00DF41ED" w:rsidRDefault="00DF41ED" w:rsidP="00DF41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41ED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860" w:type="dxa"/>
          </w:tcPr>
          <w:p w:rsidR="00DF41ED" w:rsidRPr="00DF41ED" w:rsidRDefault="00DF41ED" w:rsidP="00DF41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41ED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</w:tr>
      <w:tr w:rsidR="00DF41ED" w:rsidTr="00DF41ED">
        <w:tc>
          <w:tcPr>
            <w:tcW w:w="2362" w:type="dxa"/>
          </w:tcPr>
          <w:p w:rsidR="00DF41ED" w:rsidRPr="00DF41ED" w:rsidRDefault="00DF41ED" w:rsidP="00DF41E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41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Число предприятий и организаций всего </w:t>
            </w:r>
          </w:p>
        </w:tc>
        <w:tc>
          <w:tcPr>
            <w:tcW w:w="841" w:type="dxa"/>
          </w:tcPr>
          <w:p w:rsidR="00DF41ED" w:rsidRPr="00DF41ED" w:rsidRDefault="00DF41ED" w:rsidP="00DF41E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41ED">
              <w:rPr>
                <w:rFonts w:ascii="Times New Roman" w:hAnsi="Times New Roman" w:cs="Times New Roman"/>
                <w:b/>
                <w:sz w:val="28"/>
                <w:szCs w:val="28"/>
              </w:rPr>
              <w:t>3346</w:t>
            </w:r>
          </w:p>
        </w:tc>
        <w:tc>
          <w:tcPr>
            <w:tcW w:w="877" w:type="dxa"/>
          </w:tcPr>
          <w:p w:rsidR="00DF41ED" w:rsidRPr="00DF41ED" w:rsidRDefault="00DF41ED" w:rsidP="00DF41E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41ED">
              <w:rPr>
                <w:rFonts w:ascii="Times New Roman" w:hAnsi="Times New Roman" w:cs="Times New Roman"/>
                <w:b/>
                <w:sz w:val="28"/>
                <w:szCs w:val="28"/>
              </w:rPr>
              <w:t>4823</w:t>
            </w:r>
          </w:p>
        </w:tc>
        <w:tc>
          <w:tcPr>
            <w:tcW w:w="776" w:type="dxa"/>
          </w:tcPr>
          <w:p w:rsidR="00DF41ED" w:rsidRPr="00DF41ED" w:rsidRDefault="00DF41ED" w:rsidP="00DF41E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41ED">
              <w:rPr>
                <w:rFonts w:ascii="Times New Roman" w:hAnsi="Times New Roman" w:cs="Times New Roman"/>
                <w:b/>
                <w:sz w:val="28"/>
                <w:szCs w:val="28"/>
              </w:rPr>
              <w:t>4562</w:t>
            </w:r>
          </w:p>
        </w:tc>
        <w:tc>
          <w:tcPr>
            <w:tcW w:w="992" w:type="dxa"/>
          </w:tcPr>
          <w:p w:rsidR="00DF41ED" w:rsidRPr="00DF41ED" w:rsidRDefault="00DF41ED" w:rsidP="00DF41E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41ED">
              <w:rPr>
                <w:rFonts w:ascii="Times New Roman" w:hAnsi="Times New Roman" w:cs="Times New Roman"/>
                <w:b/>
                <w:sz w:val="28"/>
                <w:szCs w:val="28"/>
              </w:rPr>
              <w:t>4215</w:t>
            </w:r>
          </w:p>
        </w:tc>
        <w:tc>
          <w:tcPr>
            <w:tcW w:w="939" w:type="dxa"/>
            <w:gridSpan w:val="2"/>
          </w:tcPr>
          <w:p w:rsidR="00DF41ED" w:rsidRPr="00DF41ED" w:rsidRDefault="00DF41ED" w:rsidP="00DF41E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41ED">
              <w:rPr>
                <w:rFonts w:ascii="Times New Roman" w:hAnsi="Times New Roman" w:cs="Times New Roman"/>
                <w:b/>
                <w:sz w:val="28"/>
                <w:szCs w:val="28"/>
              </w:rPr>
              <w:t>3827</w:t>
            </w:r>
          </w:p>
        </w:tc>
        <w:tc>
          <w:tcPr>
            <w:tcW w:w="1079" w:type="dxa"/>
          </w:tcPr>
          <w:p w:rsidR="00DF41ED" w:rsidRPr="00DF41ED" w:rsidRDefault="00DF41ED" w:rsidP="00DF41E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41ED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776" w:type="dxa"/>
          </w:tcPr>
          <w:p w:rsidR="00DF41ED" w:rsidRPr="00DF41ED" w:rsidRDefault="00DF41ED" w:rsidP="00DF41E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41ED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776" w:type="dxa"/>
          </w:tcPr>
          <w:p w:rsidR="00DF41ED" w:rsidRPr="00DF41ED" w:rsidRDefault="00DF41ED" w:rsidP="00DF41E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41ED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827" w:type="dxa"/>
          </w:tcPr>
          <w:p w:rsidR="00DF41ED" w:rsidRPr="00DF41ED" w:rsidRDefault="00DF41ED" w:rsidP="00DF41E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41ED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860" w:type="dxa"/>
          </w:tcPr>
          <w:p w:rsidR="00DF41ED" w:rsidRPr="00DF41ED" w:rsidRDefault="00DF41ED" w:rsidP="00DF41E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41ED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</w:tr>
      <w:tr w:rsidR="00DF41ED" w:rsidTr="00DF41ED">
        <w:trPr>
          <w:trHeight w:val="535"/>
        </w:trPr>
        <w:tc>
          <w:tcPr>
            <w:tcW w:w="2362" w:type="dxa"/>
          </w:tcPr>
          <w:p w:rsidR="00DF41ED" w:rsidRPr="00DF41ED" w:rsidRDefault="00DF41ED" w:rsidP="00DF41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41ED"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 по формам собственности: </w:t>
            </w:r>
          </w:p>
        </w:tc>
        <w:tc>
          <w:tcPr>
            <w:tcW w:w="841" w:type="dxa"/>
          </w:tcPr>
          <w:p w:rsidR="00DF41ED" w:rsidRPr="00DF41ED" w:rsidRDefault="00DF41ED" w:rsidP="00DF41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7" w:type="dxa"/>
          </w:tcPr>
          <w:p w:rsidR="00DF41ED" w:rsidRPr="00DF41ED" w:rsidRDefault="00DF41ED" w:rsidP="00DF41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DF41ED" w:rsidRPr="00DF41ED" w:rsidRDefault="00DF41ED" w:rsidP="00DF41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F41ED" w:rsidRPr="00DF41ED" w:rsidRDefault="00DF41ED" w:rsidP="00DF41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9" w:type="dxa"/>
            <w:gridSpan w:val="2"/>
          </w:tcPr>
          <w:p w:rsidR="00DF41ED" w:rsidRPr="00DF41ED" w:rsidRDefault="00DF41ED" w:rsidP="00DF41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9" w:type="dxa"/>
          </w:tcPr>
          <w:p w:rsidR="00DF41ED" w:rsidRPr="00DF41ED" w:rsidRDefault="00DF41ED" w:rsidP="00DF41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DF41ED" w:rsidRPr="00DF41ED" w:rsidRDefault="00DF41ED" w:rsidP="00DF41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DF41ED" w:rsidRPr="00DF41ED" w:rsidRDefault="00DF41ED" w:rsidP="00DF41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7" w:type="dxa"/>
          </w:tcPr>
          <w:p w:rsidR="00DF41ED" w:rsidRPr="00DF41ED" w:rsidRDefault="00DF41ED" w:rsidP="00DF41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0" w:type="dxa"/>
          </w:tcPr>
          <w:p w:rsidR="00DF41ED" w:rsidRPr="00DF41ED" w:rsidRDefault="00DF41ED" w:rsidP="00DF41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41ED" w:rsidTr="00DF41ED">
        <w:tc>
          <w:tcPr>
            <w:tcW w:w="2362" w:type="dxa"/>
          </w:tcPr>
          <w:p w:rsidR="00DF41ED" w:rsidRPr="00DF41ED" w:rsidRDefault="00DF41ED" w:rsidP="00DF41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41ED">
              <w:rPr>
                <w:rFonts w:ascii="Times New Roman" w:hAnsi="Times New Roman" w:cs="Times New Roman"/>
                <w:sz w:val="28"/>
                <w:szCs w:val="28"/>
              </w:rPr>
              <w:t>государственная</w:t>
            </w:r>
          </w:p>
        </w:tc>
        <w:tc>
          <w:tcPr>
            <w:tcW w:w="841" w:type="dxa"/>
          </w:tcPr>
          <w:p w:rsidR="00DF41ED" w:rsidRPr="00DF41ED" w:rsidRDefault="00DF41ED" w:rsidP="00DF41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41ED">
              <w:rPr>
                <w:rFonts w:ascii="Times New Roman" w:hAnsi="Times New Roman" w:cs="Times New Roman"/>
                <w:sz w:val="28"/>
                <w:szCs w:val="28"/>
              </w:rPr>
              <w:t>151</w:t>
            </w:r>
          </w:p>
        </w:tc>
        <w:tc>
          <w:tcPr>
            <w:tcW w:w="877" w:type="dxa"/>
          </w:tcPr>
          <w:p w:rsidR="00DF41ED" w:rsidRPr="00DF41ED" w:rsidRDefault="00DF41ED" w:rsidP="00DF41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41ED">
              <w:rPr>
                <w:rFonts w:ascii="Times New Roman" w:hAnsi="Times New Roman" w:cs="Times New Roman"/>
                <w:sz w:val="28"/>
                <w:szCs w:val="28"/>
              </w:rPr>
              <w:t>119</w:t>
            </w:r>
          </w:p>
        </w:tc>
        <w:tc>
          <w:tcPr>
            <w:tcW w:w="776" w:type="dxa"/>
          </w:tcPr>
          <w:p w:rsidR="00DF41ED" w:rsidRPr="00DF41ED" w:rsidRDefault="00DF41ED" w:rsidP="00DF41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41ED"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992" w:type="dxa"/>
          </w:tcPr>
          <w:p w:rsidR="00DF41ED" w:rsidRPr="00DF41ED" w:rsidRDefault="00DF41ED" w:rsidP="00DF41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41ED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939" w:type="dxa"/>
            <w:gridSpan w:val="2"/>
          </w:tcPr>
          <w:p w:rsidR="00DF41ED" w:rsidRPr="00DF41ED" w:rsidRDefault="00DF41ED" w:rsidP="00DF41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41ED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1079" w:type="dxa"/>
          </w:tcPr>
          <w:p w:rsidR="00DF41ED" w:rsidRPr="00DF41ED" w:rsidRDefault="00DF41ED" w:rsidP="00DF41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41ED"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  <w:tc>
          <w:tcPr>
            <w:tcW w:w="776" w:type="dxa"/>
          </w:tcPr>
          <w:p w:rsidR="00DF41ED" w:rsidRPr="00DF41ED" w:rsidRDefault="00DF41ED" w:rsidP="00DF41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41ED"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776" w:type="dxa"/>
          </w:tcPr>
          <w:p w:rsidR="00DF41ED" w:rsidRPr="00DF41ED" w:rsidRDefault="00DF41ED" w:rsidP="00DF41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41ED">
              <w:rPr>
                <w:rFonts w:ascii="Times New Roman" w:hAnsi="Times New Roman" w:cs="Times New Roman"/>
                <w:sz w:val="28"/>
                <w:szCs w:val="28"/>
              </w:rPr>
              <w:t>2,2</w:t>
            </w:r>
          </w:p>
        </w:tc>
        <w:tc>
          <w:tcPr>
            <w:tcW w:w="827" w:type="dxa"/>
          </w:tcPr>
          <w:p w:rsidR="00DF41ED" w:rsidRPr="00DF41ED" w:rsidRDefault="00DF41ED" w:rsidP="00DF41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41ED"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  <w:tc>
          <w:tcPr>
            <w:tcW w:w="860" w:type="dxa"/>
          </w:tcPr>
          <w:p w:rsidR="00DF41ED" w:rsidRPr="00DF41ED" w:rsidRDefault="00DF41ED" w:rsidP="00DF41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41ED"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</w:tr>
      <w:tr w:rsidR="00DF41ED" w:rsidTr="00DF41ED">
        <w:tc>
          <w:tcPr>
            <w:tcW w:w="2362" w:type="dxa"/>
          </w:tcPr>
          <w:p w:rsidR="00DF41ED" w:rsidRPr="00DF41ED" w:rsidRDefault="00DF41ED" w:rsidP="00DF41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41ED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</w:t>
            </w:r>
          </w:p>
        </w:tc>
        <w:tc>
          <w:tcPr>
            <w:tcW w:w="841" w:type="dxa"/>
          </w:tcPr>
          <w:p w:rsidR="00DF41ED" w:rsidRPr="00DF41ED" w:rsidRDefault="00DF41ED" w:rsidP="00DF41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41ED">
              <w:rPr>
                <w:rFonts w:ascii="Times New Roman" w:hAnsi="Times New Roman" w:cs="Times New Roman"/>
                <w:sz w:val="28"/>
                <w:szCs w:val="28"/>
              </w:rPr>
              <w:t>217</w:t>
            </w:r>
          </w:p>
        </w:tc>
        <w:tc>
          <w:tcPr>
            <w:tcW w:w="877" w:type="dxa"/>
          </w:tcPr>
          <w:p w:rsidR="00DF41ED" w:rsidRPr="00DF41ED" w:rsidRDefault="00DF41ED" w:rsidP="00DF41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41ED">
              <w:rPr>
                <w:rFonts w:ascii="Times New Roman" w:hAnsi="Times New Roman" w:cs="Times New Roman"/>
                <w:sz w:val="28"/>
                <w:szCs w:val="28"/>
              </w:rPr>
              <w:t>246</w:t>
            </w:r>
          </w:p>
        </w:tc>
        <w:tc>
          <w:tcPr>
            <w:tcW w:w="776" w:type="dxa"/>
          </w:tcPr>
          <w:p w:rsidR="00DF41ED" w:rsidRPr="00DF41ED" w:rsidRDefault="00DF41ED" w:rsidP="00DF41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41ED">
              <w:rPr>
                <w:rFonts w:ascii="Times New Roman" w:hAnsi="Times New Roman" w:cs="Times New Roman"/>
                <w:sz w:val="28"/>
                <w:szCs w:val="28"/>
              </w:rPr>
              <w:t>196</w:t>
            </w:r>
          </w:p>
        </w:tc>
        <w:tc>
          <w:tcPr>
            <w:tcW w:w="992" w:type="dxa"/>
          </w:tcPr>
          <w:p w:rsidR="00DF41ED" w:rsidRPr="00DF41ED" w:rsidRDefault="00DF41ED" w:rsidP="00DF41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41ED"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939" w:type="dxa"/>
            <w:gridSpan w:val="2"/>
          </w:tcPr>
          <w:p w:rsidR="00DF41ED" w:rsidRPr="00DF41ED" w:rsidRDefault="00DF41ED" w:rsidP="00DF41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41ED">
              <w:rPr>
                <w:rFonts w:ascii="Times New Roman" w:hAnsi="Times New Roman" w:cs="Times New Roman"/>
                <w:sz w:val="28"/>
                <w:szCs w:val="28"/>
              </w:rPr>
              <w:t>185</w:t>
            </w:r>
          </w:p>
        </w:tc>
        <w:tc>
          <w:tcPr>
            <w:tcW w:w="1079" w:type="dxa"/>
          </w:tcPr>
          <w:p w:rsidR="00DF41ED" w:rsidRPr="00DF41ED" w:rsidRDefault="00DF41ED" w:rsidP="00DF41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41ED">
              <w:rPr>
                <w:rFonts w:ascii="Times New Roman" w:hAnsi="Times New Roman" w:cs="Times New Roman"/>
                <w:sz w:val="28"/>
                <w:szCs w:val="28"/>
              </w:rPr>
              <w:t>6,5</w:t>
            </w:r>
          </w:p>
        </w:tc>
        <w:tc>
          <w:tcPr>
            <w:tcW w:w="776" w:type="dxa"/>
          </w:tcPr>
          <w:p w:rsidR="00DF41ED" w:rsidRPr="00DF41ED" w:rsidRDefault="00DF41ED" w:rsidP="00DF41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41ED">
              <w:rPr>
                <w:rFonts w:ascii="Times New Roman" w:hAnsi="Times New Roman" w:cs="Times New Roman"/>
                <w:sz w:val="28"/>
                <w:szCs w:val="28"/>
              </w:rPr>
              <w:t>5,1</w:t>
            </w:r>
          </w:p>
        </w:tc>
        <w:tc>
          <w:tcPr>
            <w:tcW w:w="776" w:type="dxa"/>
          </w:tcPr>
          <w:p w:rsidR="00DF41ED" w:rsidRPr="00DF41ED" w:rsidRDefault="00DF41ED" w:rsidP="00DF41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41ED">
              <w:rPr>
                <w:rFonts w:ascii="Times New Roman" w:hAnsi="Times New Roman" w:cs="Times New Roman"/>
                <w:sz w:val="28"/>
                <w:szCs w:val="28"/>
              </w:rPr>
              <w:t>4,3</w:t>
            </w:r>
          </w:p>
        </w:tc>
        <w:tc>
          <w:tcPr>
            <w:tcW w:w="827" w:type="dxa"/>
          </w:tcPr>
          <w:p w:rsidR="00DF41ED" w:rsidRPr="00DF41ED" w:rsidRDefault="00DF41ED" w:rsidP="00DF41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41ED"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  <w:tc>
          <w:tcPr>
            <w:tcW w:w="860" w:type="dxa"/>
          </w:tcPr>
          <w:p w:rsidR="00DF41ED" w:rsidRPr="00DF41ED" w:rsidRDefault="00DF41ED" w:rsidP="00DF41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41ED">
              <w:rPr>
                <w:rFonts w:ascii="Times New Roman" w:hAnsi="Times New Roman" w:cs="Times New Roman"/>
                <w:sz w:val="28"/>
                <w:szCs w:val="28"/>
              </w:rPr>
              <w:t>4,8</w:t>
            </w:r>
          </w:p>
        </w:tc>
      </w:tr>
      <w:tr w:rsidR="00DF41ED" w:rsidTr="00DF41ED">
        <w:trPr>
          <w:trHeight w:val="617"/>
        </w:trPr>
        <w:tc>
          <w:tcPr>
            <w:tcW w:w="2362" w:type="dxa"/>
          </w:tcPr>
          <w:p w:rsidR="00DF41ED" w:rsidRPr="00DF41ED" w:rsidRDefault="00DF41ED" w:rsidP="00DF41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41ED">
              <w:rPr>
                <w:rFonts w:ascii="Times New Roman" w:hAnsi="Times New Roman" w:cs="Times New Roman"/>
                <w:sz w:val="28"/>
                <w:szCs w:val="28"/>
              </w:rPr>
              <w:t xml:space="preserve">Частная </w:t>
            </w:r>
          </w:p>
        </w:tc>
        <w:tc>
          <w:tcPr>
            <w:tcW w:w="841" w:type="dxa"/>
          </w:tcPr>
          <w:p w:rsidR="00DF41ED" w:rsidRPr="00DF41ED" w:rsidRDefault="00DF41ED" w:rsidP="00DF41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41ED">
              <w:rPr>
                <w:rFonts w:ascii="Times New Roman" w:hAnsi="Times New Roman" w:cs="Times New Roman"/>
                <w:sz w:val="28"/>
                <w:szCs w:val="28"/>
              </w:rPr>
              <w:t>2510</w:t>
            </w:r>
          </w:p>
        </w:tc>
        <w:tc>
          <w:tcPr>
            <w:tcW w:w="877" w:type="dxa"/>
          </w:tcPr>
          <w:p w:rsidR="00DF41ED" w:rsidRPr="00DF41ED" w:rsidRDefault="00DF41ED" w:rsidP="00DF41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41ED">
              <w:rPr>
                <w:rFonts w:ascii="Times New Roman" w:hAnsi="Times New Roman" w:cs="Times New Roman"/>
                <w:sz w:val="28"/>
                <w:szCs w:val="28"/>
              </w:rPr>
              <w:t>4104</w:t>
            </w:r>
          </w:p>
        </w:tc>
        <w:tc>
          <w:tcPr>
            <w:tcW w:w="776" w:type="dxa"/>
          </w:tcPr>
          <w:p w:rsidR="00DF41ED" w:rsidRPr="00DF41ED" w:rsidRDefault="00DF41ED" w:rsidP="00DF41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41ED">
              <w:rPr>
                <w:rFonts w:ascii="Times New Roman" w:hAnsi="Times New Roman" w:cs="Times New Roman"/>
                <w:sz w:val="28"/>
                <w:szCs w:val="28"/>
              </w:rPr>
              <w:t>3936</w:t>
            </w:r>
          </w:p>
        </w:tc>
        <w:tc>
          <w:tcPr>
            <w:tcW w:w="992" w:type="dxa"/>
          </w:tcPr>
          <w:p w:rsidR="00DF41ED" w:rsidRPr="00DF41ED" w:rsidRDefault="00DF41ED" w:rsidP="00DF41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41ED">
              <w:rPr>
                <w:rFonts w:ascii="Times New Roman" w:hAnsi="Times New Roman" w:cs="Times New Roman"/>
                <w:sz w:val="28"/>
                <w:szCs w:val="28"/>
              </w:rPr>
              <w:t>3620</w:t>
            </w:r>
          </w:p>
        </w:tc>
        <w:tc>
          <w:tcPr>
            <w:tcW w:w="939" w:type="dxa"/>
            <w:gridSpan w:val="2"/>
          </w:tcPr>
          <w:p w:rsidR="00DF41ED" w:rsidRPr="00DF41ED" w:rsidRDefault="00DF41ED" w:rsidP="00DF41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41ED">
              <w:rPr>
                <w:rFonts w:ascii="Times New Roman" w:hAnsi="Times New Roman" w:cs="Times New Roman"/>
                <w:sz w:val="28"/>
                <w:szCs w:val="28"/>
              </w:rPr>
              <w:t>3261</w:t>
            </w:r>
          </w:p>
        </w:tc>
        <w:tc>
          <w:tcPr>
            <w:tcW w:w="1079" w:type="dxa"/>
          </w:tcPr>
          <w:p w:rsidR="00DF41ED" w:rsidRPr="00DF41ED" w:rsidRDefault="00DF41ED" w:rsidP="00DF41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41ED">
              <w:rPr>
                <w:rFonts w:ascii="Times New Roman" w:hAnsi="Times New Roman" w:cs="Times New Roman"/>
                <w:sz w:val="28"/>
                <w:szCs w:val="28"/>
              </w:rPr>
              <w:t>75,0</w:t>
            </w:r>
          </w:p>
        </w:tc>
        <w:tc>
          <w:tcPr>
            <w:tcW w:w="776" w:type="dxa"/>
          </w:tcPr>
          <w:p w:rsidR="00DF41ED" w:rsidRPr="00DF41ED" w:rsidRDefault="00DF41ED" w:rsidP="00DF41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41ED">
              <w:rPr>
                <w:rFonts w:ascii="Times New Roman" w:hAnsi="Times New Roman" w:cs="Times New Roman"/>
                <w:sz w:val="28"/>
                <w:szCs w:val="28"/>
              </w:rPr>
              <w:t>85,1</w:t>
            </w:r>
          </w:p>
        </w:tc>
        <w:tc>
          <w:tcPr>
            <w:tcW w:w="776" w:type="dxa"/>
          </w:tcPr>
          <w:p w:rsidR="00DF41ED" w:rsidRPr="00DF41ED" w:rsidRDefault="00DF41ED" w:rsidP="00DF41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41ED">
              <w:rPr>
                <w:rFonts w:ascii="Times New Roman" w:hAnsi="Times New Roman" w:cs="Times New Roman"/>
                <w:sz w:val="28"/>
                <w:szCs w:val="28"/>
              </w:rPr>
              <w:t>86,3</w:t>
            </w:r>
          </w:p>
        </w:tc>
        <w:tc>
          <w:tcPr>
            <w:tcW w:w="827" w:type="dxa"/>
          </w:tcPr>
          <w:p w:rsidR="00DF41ED" w:rsidRPr="00DF41ED" w:rsidRDefault="00DF41ED" w:rsidP="00DF41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41ED">
              <w:rPr>
                <w:rFonts w:ascii="Times New Roman" w:hAnsi="Times New Roman" w:cs="Times New Roman"/>
                <w:sz w:val="28"/>
                <w:szCs w:val="28"/>
              </w:rPr>
              <w:t>85,9</w:t>
            </w:r>
          </w:p>
        </w:tc>
        <w:tc>
          <w:tcPr>
            <w:tcW w:w="860" w:type="dxa"/>
          </w:tcPr>
          <w:p w:rsidR="00DF41ED" w:rsidRPr="00DF41ED" w:rsidRDefault="00DF41ED" w:rsidP="00DF41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41ED">
              <w:rPr>
                <w:rFonts w:ascii="Times New Roman" w:hAnsi="Times New Roman" w:cs="Times New Roman"/>
                <w:sz w:val="28"/>
                <w:szCs w:val="28"/>
              </w:rPr>
              <w:t>85,2</w:t>
            </w:r>
          </w:p>
        </w:tc>
      </w:tr>
    </w:tbl>
    <w:p w:rsidR="00AF1318" w:rsidRDefault="00AF1318" w:rsidP="002B0E8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0E81" w:rsidRDefault="002B0E81" w:rsidP="002B0E8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E81">
        <w:rPr>
          <w:rFonts w:ascii="Times New Roman" w:hAnsi="Times New Roman" w:cs="Times New Roman"/>
          <w:sz w:val="28"/>
          <w:szCs w:val="28"/>
        </w:rPr>
        <w:lastRenderedPageBreak/>
        <w:t>Строим гр</w:t>
      </w:r>
      <w:r w:rsidR="00AF1318">
        <w:rPr>
          <w:rFonts w:ascii="Times New Roman" w:hAnsi="Times New Roman" w:cs="Times New Roman"/>
          <w:sz w:val="28"/>
          <w:szCs w:val="28"/>
        </w:rPr>
        <w:t xml:space="preserve">афики в </w:t>
      </w:r>
      <w:proofErr w:type="spellStart"/>
      <w:r w:rsidR="00AF1318">
        <w:rPr>
          <w:rFonts w:ascii="Times New Roman" w:hAnsi="Times New Roman" w:cs="Times New Roman"/>
          <w:sz w:val="28"/>
          <w:szCs w:val="28"/>
        </w:rPr>
        <w:t>Excel</w:t>
      </w:r>
      <w:proofErr w:type="spellEnd"/>
      <w:r w:rsidR="00AF1318">
        <w:rPr>
          <w:rFonts w:ascii="Times New Roman" w:hAnsi="Times New Roman" w:cs="Times New Roman"/>
          <w:sz w:val="28"/>
          <w:szCs w:val="28"/>
        </w:rPr>
        <w:t xml:space="preserve"> следующим образом (см. Таблицу 1.) </w:t>
      </w:r>
    </w:p>
    <w:p w:rsidR="00D36DAC" w:rsidRPr="00D36DAC" w:rsidRDefault="00D36DAC" w:rsidP="002B0E81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6DAC">
        <w:rPr>
          <w:rFonts w:ascii="Times New Roman" w:hAnsi="Times New Roman" w:cs="Times New Roman"/>
          <w:b/>
          <w:sz w:val="28"/>
          <w:szCs w:val="28"/>
        </w:rPr>
        <w:t>График 1.</w:t>
      </w:r>
    </w:p>
    <w:p w:rsidR="002B0E81" w:rsidRDefault="00A55024" w:rsidP="00CC1DB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CED3F25" wp14:editId="349C6B59">
            <wp:extent cx="5724525" cy="3067050"/>
            <wp:effectExtent l="0" t="0" r="9525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2B0E81" w:rsidRPr="002B0E81" w:rsidRDefault="002B0E81" w:rsidP="002B0E8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E81">
        <w:rPr>
          <w:rFonts w:ascii="Times New Roman" w:hAnsi="Times New Roman" w:cs="Times New Roman"/>
          <w:sz w:val="28"/>
          <w:szCs w:val="28"/>
        </w:rPr>
        <w:t xml:space="preserve">И далее анализируем полученный график. </w:t>
      </w:r>
    </w:p>
    <w:p w:rsidR="002B0E81" w:rsidRPr="002B0E81" w:rsidRDefault="002B0E81" w:rsidP="002B0E8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E81">
        <w:rPr>
          <w:rFonts w:ascii="Times New Roman" w:hAnsi="Times New Roman" w:cs="Times New Roman"/>
          <w:sz w:val="28"/>
          <w:szCs w:val="28"/>
        </w:rPr>
        <w:t xml:space="preserve">Анализ должен включать следующее: </w:t>
      </w:r>
    </w:p>
    <w:p w:rsidR="002B0E81" w:rsidRPr="002B0E81" w:rsidRDefault="002B0E81" w:rsidP="002B0E8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E81">
        <w:rPr>
          <w:rFonts w:ascii="Times New Roman" w:hAnsi="Times New Roman" w:cs="Times New Roman"/>
          <w:sz w:val="28"/>
          <w:szCs w:val="28"/>
        </w:rPr>
        <w:t>1)</w:t>
      </w:r>
      <w:r w:rsidRPr="002B0E81">
        <w:rPr>
          <w:rFonts w:ascii="Times New Roman" w:hAnsi="Times New Roman" w:cs="Times New Roman"/>
          <w:sz w:val="28"/>
          <w:szCs w:val="28"/>
        </w:rPr>
        <w:tab/>
        <w:t>определяем наименьшее и наибольшее значения;</w:t>
      </w:r>
    </w:p>
    <w:p w:rsidR="002B0E81" w:rsidRPr="002B0E81" w:rsidRDefault="002B0E81" w:rsidP="002B0E8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E81">
        <w:rPr>
          <w:rFonts w:ascii="Times New Roman" w:hAnsi="Times New Roman" w:cs="Times New Roman"/>
          <w:sz w:val="28"/>
          <w:szCs w:val="28"/>
        </w:rPr>
        <w:t>2)</w:t>
      </w:r>
      <w:r w:rsidRPr="002B0E81">
        <w:rPr>
          <w:rFonts w:ascii="Times New Roman" w:hAnsi="Times New Roman" w:cs="Times New Roman"/>
          <w:sz w:val="28"/>
          <w:szCs w:val="28"/>
        </w:rPr>
        <w:tab/>
        <w:t>какое изменение значения происходит по годам (растет или снижается);</w:t>
      </w:r>
    </w:p>
    <w:p w:rsidR="002B0E81" w:rsidRPr="002B0E81" w:rsidRDefault="002B0E81" w:rsidP="002B0E8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E81">
        <w:rPr>
          <w:rFonts w:ascii="Times New Roman" w:hAnsi="Times New Roman" w:cs="Times New Roman"/>
          <w:sz w:val="28"/>
          <w:szCs w:val="28"/>
        </w:rPr>
        <w:t>3)</w:t>
      </w:r>
      <w:r w:rsidRPr="002B0E81">
        <w:rPr>
          <w:rFonts w:ascii="Times New Roman" w:hAnsi="Times New Roman" w:cs="Times New Roman"/>
          <w:sz w:val="28"/>
          <w:szCs w:val="28"/>
        </w:rPr>
        <w:tab/>
        <w:t>характер изменения: постепенное или резкое.</w:t>
      </w:r>
    </w:p>
    <w:p w:rsidR="002B0E81" w:rsidRDefault="002B0E81" w:rsidP="002B0E8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Анализ: </w:t>
      </w:r>
    </w:p>
    <w:p w:rsidR="002B0E81" w:rsidRDefault="002B0E81" w:rsidP="002B0E8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Наименьшее значение наблюдается в 2000 годах., наибольшее в 2010 году. </w:t>
      </w:r>
    </w:p>
    <w:p w:rsidR="002B0E81" w:rsidRDefault="002B0E81" w:rsidP="002B0E8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 </w:t>
      </w:r>
      <w:r w:rsidRPr="002B0E81">
        <w:rPr>
          <w:rFonts w:ascii="Times New Roman" w:hAnsi="Times New Roman" w:cs="Times New Roman"/>
          <w:sz w:val="28"/>
          <w:szCs w:val="28"/>
        </w:rPr>
        <w:t>Число предприятий и организаций снижается незначительно в последние года.</w:t>
      </w:r>
    </w:p>
    <w:p w:rsidR="002B0E81" w:rsidRDefault="002B0E81" w:rsidP="002B0E8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Число предприятий с 2010 года по 2019 снижается постепенно. </w:t>
      </w:r>
    </w:p>
    <w:p w:rsidR="00D36DAC" w:rsidRDefault="00D36DAC" w:rsidP="002B0E8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6DAC" w:rsidRDefault="00D36DAC" w:rsidP="002B0E8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6DAC" w:rsidRDefault="00D36DAC" w:rsidP="002B0E8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6DAC" w:rsidRPr="00AF1318" w:rsidRDefault="00D36DAC" w:rsidP="00AF131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6DA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График 2. </w:t>
      </w:r>
      <w:r w:rsidR="00AF1318" w:rsidRPr="00AF1318">
        <w:rPr>
          <w:rFonts w:ascii="Times New Roman" w:hAnsi="Times New Roman" w:cs="Times New Roman"/>
          <w:b/>
          <w:sz w:val="28"/>
          <w:szCs w:val="28"/>
        </w:rPr>
        <w:t>(см. Таблицу 1.)</w:t>
      </w:r>
    </w:p>
    <w:p w:rsidR="00D36DAC" w:rsidRPr="002B0E81" w:rsidRDefault="00D36DAC" w:rsidP="002B0E8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9175B56" wp14:editId="56526080">
            <wp:extent cx="5143500" cy="276225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2B0E81" w:rsidRPr="00D36DAC" w:rsidRDefault="00D36DAC" w:rsidP="00D36DA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DAC">
        <w:rPr>
          <w:rFonts w:ascii="Times New Roman" w:hAnsi="Times New Roman" w:cs="Times New Roman"/>
          <w:sz w:val="28"/>
          <w:szCs w:val="28"/>
        </w:rPr>
        <w:t>И далее анализируем полученный график.</w:t>
      </w:r>
    </w:p>
    <w:p w:rsidR="00D36DAC" w:rsidRPr="00D36DAC" w:rsidRDefault="00D36DAC" w:rsidP="00D36DA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DAC">
        <w:rPr>
          <w:rFonts w:ascii="Times New Roman" w:hAnsi="Times New Roman" w:cs="Times New Roman"/>
          <w:sz w:val="28"/>
          <w:szCs w:val="28"/>
        </w:rPr>
        <w:t xml:space="preserve">Анализ: </w:t>
      </w:r>
    </w:p>
    <w:p w:rsidR="00D36DAC" w:rsidRPr="00D36DAC" w:rsidRDefault="00D36DAC" w:rsidP="00D36DA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DAC">
        <w:rPr>
          <w:rFonts w:ascii="Times New Roman" w:hAnsi="Times New Roman" w:cs="Times New Roman"/>
          <w:sz w:val="28"/>
          <w:szCs w:val="28"/>
        </w:rPr>
        <w:t xml:space="preserve">1) </w:t>
      </w:r>
      <w:r w:rsidRPr="00D36DAC">
        <w:rPr>
          <w:rFonts w:ascii="Times New Roman" w:hAnsi="Times New Roman" w:cs="Times New Roman"/>
          <w:sz w:val="28"/>
          <w:szCs w:val="28"/>
        </w:rPr>
        <w:t>Наимен</w:t>
      </w:r>
      <w:r>
        <w:rPr>
          <w:rFonts w:ascii="Times New Roman" w:hAnsi="Times New Roman" w:cs="Times New Roman"/>
          <w:sz w:val="28"/>
          <w:szCs w:val="28"/>
        </w:rPr>
        <w:t xml:space="preserve">ьшее государственных предприятий наблюдается в 2019 году наибольшее в 2000 годах. </w:t>
      </w:r>
      <w:r w:rsidRPr="00D36D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6DAC" w:rsidRPr="00D36DAC" w:rsidRDefault="00D36DAC" w:rsidP="00D36DA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DAC">
        <w:rPr>
          <w:rFonts w:ascii="Times New Roman" w:hAnsi="Times New Roman" w:cs="Times New Roman"/>
          <w:sz w:val="28"/>
          <w:szCs w:val="28"/>
        </w:rPr>
        <w:t>2)  Число предприятий и организаций снижается незначительно в последние года.</w:t>
      </w:r>
    </w:p>
    <w:p w:rsidR="002B0E81" w:rsidRDefault="00D36DAC" w:rsidP="00D36DA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Число предприятий с 2000 годах по 2010 снизился резко. После 2010 года спад происходит постепенно. </w:t>
      </w:r>
    </w:p>
    <w:p w:rsidR="00AF1318" w:rsidRDefault="00AF1318" w:rsidP="00D36DA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1318" w:rsidRDefault="00AF1318" w:rsidP="00D36DA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1318" w:rsidRDefault="00AF1318" w:rsidP="00D36DA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1318" w:rsidRDefault="00AF1318" w:rsidP="00D36DA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1318" w:rsidRDefault="00AF1318" w:rsidP="00D36DA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1318" w:rsidRDefault="00AF1318" w:rsidP="00D36DA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1318" w:rsidRDefault="00AF1318" w:rsidP="00D36DA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1318" w:rsidRPr="00AF1318" w:rsidRDefault="00AF1318" w:rsidP="00D36DAC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1318">
        <w:rPr>
          <w:rFonts w:ascii="Times New Roman" w:hAnsi="Times New Roman" w:cs="Times New Roman"/>
          <w:b/>
          <w:sz w:val="28"/>
          <w:szCs w:val="28"/>
        </w:rPr>
        <w:lastRenderedPageBreak/>
        <w:t>График 3. (см. Таблицу 1.)</w:t>
      </w:r>
    </w:p>
    <w:p w:rsidR="00D36DAC" w:rsidRDefault="00D36DAC" w:rsidP="00D36DA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1318" w:rsidRDefault="00AF1318" w:rsidP="00D36DA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D337230" wp14:editId="3541ABEB">
            <wp:extent cx="5276850" cy="2581275"/>
            <wp:effectExtent l="0" t="0" r="0" b="952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AF1318" w:rsidRPr="00AF1318" w:rsidRDefault="00AF1318" w:rsidP="00AF131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1318">
        <w:rPr>
          <w:rFonts w:ascii="Times New Roman" w:hAnsi="Times New Roman" w:cs="Times New Roman"/>
          <w:sz w:val="28"/>
          <w:szCs w:val="28"/>
        </w:rPr>
        <w:t>И далее анализируем полученный график.</w:t>
      </w:r>
    </w:p>
    <w:p w:rsidR="00AF1318" w:rsidRPr="00AF1318" w:rsidRDefault="00AF1318" w:rsidP="00AF131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1318">
        <w:rPr>
          <w:rFonts w:ascii="Times New Roman" w:hAnsi="Times New Roman" w:cs="Times New Roman"/>
          <w:sz w:val="28"/>
          <w:szCs w:val="28"/>
        </w:rPr>
        <w:t xml:space="preserve">Анализ: </w:t>
      </w:r>
    </w:p>
    <w:p w:rsidR="00AF1318" w:rsidRPr="00AF1318" w:rsidRDefault="00055E36" w:rsidP="00AF131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Наименьшее муниципальных предприятий наблюдается в 2019 году наибольшее в 2010</w:t>
      </w:r>
      <w:r w:rsidR="00AF1318" w:rsidRPr="00AF1318">
        <w:rPr>
          <w:rFonts w:ascii="Times New Roman" w:hAnsi="Times New Roman" w:cs="Times New Roman"/>
          <w:sz w:val="28"/>
          <w:szCs w:val="28"/>
        </w:rPr>
        <w:t xml:space="preserve"> годах.  </w:t>
      </w:r>
    </w:p>
    <w:p w:rsidR="00055E36" w:rsidRDefault="00AF1318" w:rsidP="00AF131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1318">
        <w:rPr>
          <w:rFonts w:ascii="Times New Roman" w:hAnsi="Times New Roman" w:cs="Times New Roman"/>
          <w:sz w:val="28"/>
          <w:szCs w:val="28"/>
        </w:rPr>
        <w:t xml:space="preserve">2)  </w:t>
      </w:r>
      <w:r w:rsidR="00055E36" w:rsidRPr="00AF1318">
        <w:rPr>
          <w:rFonts w:ascii="Times New Roman" w:hAnsi="Times New Roman" w:cs="Times New Roman"/>
          <w:sz w:val="28"/>
          <w:szCs w:val="28"/>
        </w:rPr>
        <w:t xml:space="preserve">Число </w:t>
      </w:r>
      <w:r w:rsidR="00055E36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055E36" w:rsidRPr="00AF1318">
        <w:rPr>
          <w:rFonts w:ascii="Times New Roman" w:hAnsi="Times New Roman" w:cs="Times New Roman"/>
          <w:sz w:val="28"/>
          <w:szCs w:val="28"/>
        </w:rPr>
        <w:t xml:space="preserve">предприятий </w:t>
      </w:r>
      <w:r w:rsidR="00055E36">
        <w:rPr>
          <w:rFonts w:ascii="Times New Roman" w:hAnsi="Times New Roman" w:cs="Times New Roman"/>
          <w:sz w:val="28"/>
          <w:szCs w:val="28"/>
        </w:rPr>
        <w:t xml:space="preserve">с 2010 года снижается. </w:t>
      </w:r>
    </w:p>
    <w:p w:rsidR="00AF1318" w:rsidRDefault="00055E36" w:rsidP="00AF131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Число предприятий с 2010 годах по 2017 снизился резко. После 2017</w:t>
      </w:r>
      <w:r w:rsidR="00AF1318" w:rsidRPr="00AF1318">
        <w:rPr>
          <w:rFonts w:ascii="Times New Roman" w:hAnsi="Times New Roman" w:cs="Times New Roman"/>
          <w:sz w:val="28"/>
          <w:szCs w:val="28"/>
        </w:rPr>
        <w:t xml:space="preserve"> года спад происходит постепенно.</w:t>
      </w:r>
    </w:p>
    <w:p w:rsidR="00055E36" w:rsidRDefault="00055E36" w:rsidP="00AF131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5E36" w:rsidRDefault="00055E36" w:rsidP="00AF131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5E36" w:rsidRDefault="00055E36" w:rsidP="00AF131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5E36" w:rsidRDefault="00055E36" w:rsidP="00AF131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5E36" w:rsidRDefault="00055E36" w:rsidP="00AF131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5E36" w:rsidRDefault="00055E36" w:rsidP="00AF131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5E36" w:rsidRDefault="00055E36" w:rsidP="00AF131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5E36" w:rsidRPr="00055E36" w:rsidRDefault="00055E36" w:rsidP="00AF131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5E36">
        <w:rPr>
          <w:rFonts w:ascii="Times New Roman" w:hAnsi="Times New Roman" w:cs="Times New Roman"/>
          <w:b/>
          <w:sz w:val="28"/>
          <w:szCs w:val="28"/>
        </w:rPr>
        <w:lastRenderedPageBreak/>
        <w:t>График 4. (см. Таблицу 1.)</w:t>
      </w:r>
      <w:bookmarkStart w:id="0" w:name="_GoBack"/>
      <w:bookmarkEnd w:id="0"/>
    </w:p>
    <w:p w:rsidR="002B0E81" w:rsidRDefault="00055E36" w:rsidP="00CC1DB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2F422DC" wp14:editId="164156A2">
            <wp:extent cx="5400675" cy="2990850"/>
            <wp:effectExtent l="0" t="0" r="9525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055E36" w:rsidRPr="00055E36" w:rsidRDefault="00055E36" w:rsidP="00055E3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5E36">
        <w:rPr>
          <w:rFonts w:ascii="Times New Roman" w:hAnsi="Times New Roman" w:cs="Times New Roman"/>
          <w:sz w:val="28"/>
          <w:szCs w:val="28"/>
        </w:rPr>
        <w:t>И далее анализируем полученный график.</w:t>
      </w:r>
    </w:p>
    <w:p w:rsidR="00055E36" w:rsidRPr="00055E36" w:rsidRDefault="00055E36" w:rsidP="00055E3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5E36">
        <w:rPr>
          <w:rFonts w:ascii="Times New Roman" w:hAnsi="Times New Roman" w:cs="Times New Roman"/>
          <w:sz w:val="28"/>
          <w:szCs w:val="28"/>
        </w:rPr>
        <w:t xml:space="preserve">Анализ: </w:t>
      </w:r>
    </w:p>
    <w:p w:rsidR="00055E36" w:rsidRPr="00055E36" w:rsidRDefault="00055E36" w:rsidP="00055E3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Наименьшее частных предприятий наблюдается в 2000 годах наибольшее в 2010 году</w:t>
      </w:r>
      <w:r w:rsidRPr="00055E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5E36" w:rsidRPr="00055E36" w:rsidRDefault="00055E36" w:rsidP="00055E3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 Число частных</w:t>
      </w:r>
      <w:r w:rsidRPr="00055E36">
        <w:rPr>
          <w:rFonts w:ascii="Times New Roman" w:hAnsi="Times New Roman" w:cs="Times New Roman"/>
          <w:sz w:val="28"/>
          <w:szCs w:val="28"/>
        </w:rPr>
        <w:t xml:space="preserve"> предприятий с 2010 года </w:t>
      </w:r>
      <w:r>
        <w:rPr>
          <w:rFonts w:ascii="Times New Roman" w:hAnsi="Times New Roman" w:cs="Times New Roman"/>
          <w:sz w:val="28"/>
          <w:szCs w:val="28"/>
        </w:rPr>
        <w:t xml:space="preserve">снижается незначительно </w:t>
      </w:r>
    </w:p>
    <w:p w:rsidR="00055E36" w:rsidRDefault="00055E36" w:rsidP="00055E3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Число предприятий с 2000 годов резко выросло до 2010 года. После 2010 года идет постепенное снижение. </w:t>
      </w:r>
    </w:p>
    <w:p w:rsidR="0056205A" w:rsidRDefault="0056205A" w:rsidP="00055E3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205A" w:rsidRDefault="0056205A" w:rsidP="00055E3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205A" w:rsidRDefault="0056205A" w:rsidP="00055E3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205A" w:rsidRDefault="0056205A" w:rsidP="00055E3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205A" w:rsidRDefault="0056205A" w:rsidP="00055E3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205A" w:rsidRDefault="0056205A" w:rsidP="00055E3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205A" w:rsidRDefault="0056205A" w:rsidP="00055E3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5E36" w:rsidRPr="0056205A" w:rsidRDefault="0056205A" w:rsidP="00D9790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205A">
        <w:rPr>
          <w:rFonts w:ascii="Times New Roman" w:hAnsi="Times New Roman" w:cs="Times New Roman"/>
          <w:b/>
          <w:sz w:val="28"/>
          <w:szCs w:val="28"/>
        </w:rPr>
        <w:lastRenderedPageBreak/>
        <w:t>3. Составляется таблица и строится график по 2019 г.</w:t>
      </w:r>
    </w:p>
    <w:p w:rsidR="004809A3" w:rsidRPr="004809A3" w:rsidRDefault="004809A3" w:rsidP="00CC1DB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09A3">
        <w:rPr>
          <w:rFonts w:ascii="Times New Roman" w:hAnsi="Times New Roman" w:cs="Times New Roman"/>
          <w:b/>
          <w:sz w:val="28"/>
          <w:szCs w:val="28"/>
        </w:rPr>
        <w:t xml:space="preserve">Таблица: Форма собственности </w:t>
      </w:r>
    </w:p>
    <w:p w:rsidR="004809A3" w:rsidRDefault="004809A3" w:rsidP="00CC1DB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09A3">
        <w:drawing>
          <wp:inline distT="0" distB="0" distL="0" distR="0">
            <wp:extent cx="5972175" cy="1273175"/>
            <wp:effectExtent l="0" t="0" r="0" b="317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3763" cy="1273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5E36" w:rsidRDefault="004809A3" w:rsidP="00CC1DB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 по 2019 году.</w:t>
      </w:r>
    </w:p>
    <w:p w:rsidR="004809A3" w:rsidRDefault="004809A3" w:rsidP="00CC1DB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F1B7589" wp14:editId="76C40CC1">
            <wp:extent cx="5410200" cy="2876550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4809A3" w:rsidRDefault="004809A3" w:rsidP="00CC1DB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Произведем анализ таблицы и графика: </w:t>
      </w:r>
    </w:p>
    <w:p w:rsidR="004809A3" w:rsidRDefault="004809A3" w:rsidP="00CC1DB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2000 годах формы собственности во всех показателях была выше. </w:t>
      </w:r>
      <w:r w:rsidR="005A06F2">
        <w:rPr>
          <w:rFonts w:ascii="Times New Roman" w:hAnsi="Times New Roman" w:cs="Times New Roman"/>
          <w:sz w:val="28"/>
          <w:szCs w:val="28"/>
        </w:rPr>
        <w:t xml:space="preserve">Начиная с 2010 года по 2019 происходят не значительные изменения по сокращению собственности. </w:t>
      </w:r>
    </w:p>
    <w:p w:rsidR="004809A3" w:rsidRPr="00CC1DBF" w:rsidRDefault="005A06F2" w:rsidP="00CC1DB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Вывод: в результате проведенной лабораторной работы, можно сказать следующие, наблюдается сокращение форм собственности начиная с 2000 годов. Так на период 2010 года, произошел рост собственности частной и муниципальной и в настоящее время данный показатель находится почти на одном уровне. Что касается других форм собственности то они сокращаются незначительно. Но </w:t>
      </w:r>
      <w:r w:rsidR="00D97901">
        <w:rPr>
          <w:rFonts w:ascii="Times New Roman" w:hAnsi="Times New Roman" w:cs="Times New Roman"/>
          <w:sz w:val="28"/>
          <w:szCs w:val="28"/>
        </w:rPr>
        <w:t>какого-то</w:t>
      </w:r>
      <w:r>
        <w:rPr>
          <w:rFonts w:ascii="Times New Roman" w:hAnsi="Times New Roman" w:cs="Times New Roman"/>
          <w:sz w:val="28"/>
          <w:szCs w:val="28"/>
        </w:rPr>
        <w:t xml:space="preserve"> серьёзного роста не наблюдается. </w:t>
      </w:r>
    </w:p>
    <w:sectPr w:rsidR="004809A3" w:rsidRPr="00CC1DBF"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2903" w:rsidRDefault="000A2903" w:rsidP="00D97901">
      <w:pPr>
        <w:spacing w:after="0" w:line="240" w:lineRule="auto"/>
      </w:pPr>
      <w:r>
        <w:separator/>
      </w:r>
    </w:p>
  </w:endnote>
  <w:endnote w:type="continuationSeparator" w:id="0">
    <w:p w:rsidR="000A2903" w:rsidRDefault="000A2903" w:rsidP="00D97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06703213"/>
      <w:docPartObj>
        <w:docPartGallery w:val="Page Numbers (Bottom of Page)"/>
        <w:docPartUnique/>
      </w:docPartObj>
    </w:sdtPr>
    <w:sdtContent>
      <w:p w:rsidR="00D97901" w:rsidRDefault="00D9790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D97901" w:rsidRDefault="00D9790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2903" w:rsidRDefault="000A2903" w:rsidP="00D97901">
      <w:pPr>
        <w:spacing w:after="0" w:line="240" w:lineRule="auto"/>
      </w:pPr>
      <w:r>
        <w:separator/>
      </w:r>
    </w:p>
  </w:footnote>
  <w:footnote w:type="continuationSeparator" w:id="0">
    <w:p w:rsidR="000A2903" w:rsidRDefault="000A2903" w:rsidP="00D979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D8B"/>
    <w:rsid w:val="00055E36"/>
    <w:rsid w:val="000A2903"/>
    <w:rsid w:val="00147EA6"/>
    <w:rsid w:val="002B0D8B"/>
    <w:rsid w:val="002B0E81"/>
    <w:rsid w:val="004809A3"/>
    <w:rsid w:val="0056205A"/>
    <w:rsid w:val="005A06F2"/>
    <w:rsid w:val="00A55024"/>
    <w:rsid w:val="00AF1318"/>
    <w:rsid w:val="00B05FF2"/>
    <w:rsid w:val="00C10A90"/>
    <w:rsid w:val="00CC1DBF"/>
    <w:rsid w:val="00D36DAC"/>
    <w:rsid w:val="00D734DF"/>
    <w:rsid w:val="00D97901"/>
    <w:rsid w:val="00DF41ED"/>
    <w:rsid w:val="00FC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AF4E8"/>
  <w15:chartTrackingRefBased/>
  <w15:docId w15:val="{64348704-BBD2-4284-868C-AD35100CE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734DF"/>
    <w:pPr>
      <w:keepNext/>
      <w:keepLines/>
      <w:spacing w:before="240" w:after="0"/>
      <w:jc w:val="center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34DF"/>
    <w:rPr>
      <w:rFonts w:ascii="Times New Roman" w:eastAsiaTheme="majorEastAsia" w:hAnsi="Times New Roman" w:cstheme="majorBidi"/>
      <w:b/>
      <w:sz w:val="28"/>
      <w:szCs w:val="32"/>
    </w:rPr>
  </w:style>
  <w:style w:type="table" w:styleId="a3">
    <w:name w:val="Table Grid"/>
    <w:basedOn w:val="a1"/>
    <w:uiPriority w:val="39"/>
    <w:rsid w:val="00CC1D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979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97901"/>
  </w:style>
  <w:style w:type="paragraph" w:styleId="a6">
    <w:name w:val="footer"/>
    <w:basedOn w:val="a"/>
    <w:link w:val="a7"/>
    <w:uiPriority w:val="99"/>
    <w:unhideWhenUsed/>
    <w:rsid w:val="00D979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979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3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chart" Target="charts/chart5.xml"/><Relationship Id="rId5" Type="http://schemas.openxmlformats.org/officeDocument/2006/relationships/endnotes" Target="endnotes.xml"/><Relationship Id="rId10" Type="http://schemas.openxmlformats.org/officeDocument/2006/relationships/image" Target="media/image1.emf"/><Relationship Id="rId4" Type="http://schemas.openxmlformats.org/officeDocument/2006/relationships/footnotes" Target="footnotes.xml"/><Relationship Id="rId9" Type="http://schemas.openxmlformats.org/officeDocument/2006/relationships/chart" Target="charts/chart4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_____Microsoft_Excel2.xlsx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19725461937890043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lineChart>
        <c:grouping val="standard"/>
        <c:varyColors val="0"/>
        <c:ser>
          <c:idx val="2"/>
          <c:order val="0"/>
          <c:tx>
            <c:strRef>
              <c:f>Лист1!$B$4</c:f>
              <c:strCache>
                <c:ptCount val="1"/>
                <c:pt idx="0">
                  <c:v>Число предприятий и организаций всего 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cat>
            <c:numRef>
              <c:extLst>
                <c:ext xmlns:c15="http://schemas.microsoft.com/office/drawing/2012/chart" uri="{02D57815-91ED-43cb-92C2-25804820EDAC}">
                  <c15:fullRef>
                    <c15:sqref>Лист1!$C$3:$G$3</c15:sqref>
                  </c15:fullRef>
                </c:ext>
              </c:extLst>
              <c:f>Лист1!$C$3:$G$3</c:f>
              <c:numCache>
                <c:formatCode>General</c:formatCode>
                <c:ptCount val="5"/>
                <c:pt idx="0">
                  <c:v>2000</c:v>
                </c:pt>
                <c:pt idx="1">
                  <c:v>2010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</c:numCache>
            </c:numRef>
          </c:cat>
          <c:val>
            <c:numRef>
              <c:extLst>
                <c:ext xmlns:c15="http://schemas.microsoft.com/office/drawing/2012/chart" uri="{02D57815-91ED-43cb-92C2-25804820EDAC}">
                  <c15:fullRef>
                    <c15:sqref>Лист1!$C$4:$I$4</c15:sqref>
                  </c15:fullRef>
                </c:ext>
              </c:extLst>
              <c:f>Лист1!$C$4:$G$4</c:f>
              <c:numCache>
                <c:formatCode>General</c:formatCode>
                <c:ptCount val="5"/>
                <c:pt idx="0">
                  <c:v>3346</c:v>
                </c:pt>
                <c:pt idx="1">
                  <c:v>4823</c:v>
                </c:pt>
                <c:pt idx="2">
                  <c:v>4562</c:v>
                </c:pt>
                <c:pt idx="3">
                  <c:v>4215</c:v>
                </c:pt>
                <c:pt idx="4">
                  <c:v>3827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900B-4D59-AD71-CCD6ACB5D3B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49891488"/>
        <c:axId val="349892736"/>
      </c:lineChart>
      <c:catAx>
        <c:axId val="3498914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49892736"/>
        <c:crosses val="autoZero"/>
        <c:auto val="1"/>
        <c:lblAlgn val="ctr"/>
        <c:lblOffset val="100"/>
        <c:noMultiLvlLbl val="0"/>
      </c:catAx>
      <c:valAx>
        <c:axId val="3498927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498914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Государственная форма собственности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Лист1!$B$13</c:f>
              <c:strCache>
                <c:ptCount val="1"/>
                <c:pt idx="0">
                  <c:v>Государственная 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numRef>
              <c:f>Лист1!$C$12:$G$12</c:f>
              <c:numCache>
                <c:formatCode>General</c:formatCode>
                <c:ptCount val="5"/>
                <c:pt idx="0">
                  <c:v>2000</c:v>
                </c:pt>
                <c:pt idx="1">
                  <c:v>2010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</c:numCache>
            </c:numRef>
          </c:cat>
          <c:val>
            <c:numRef>
              <c:f>Лист1!$C$13:$G$13</c:f>
              <c:numCache>
                <c:formatCode>General</c:formatCode>
                <c:ptCount val="5"/>
                <c:pt idx="0">
                  <c:v>151</c:v>
                </c:pt>
                <c:pt idx="1">
                  <c:v>119</c:v>
                </c:pt>
                <c:pt idx="2">
                  <c:v>103</c:v>
                </c:pt>
                <c:pt idx="3">
                  <c:v>99</c:v>
                </c:pt>
                <c:pt idx="4">
                  <c:v>94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A3B4-4DCD-9DEF-2ED6E15CF9F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75730192"/>
        <c:axId val="275728528"/>
      </c:lineChart>
      <c:catAx>
        <c:axId val="2757301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75728528"/>
        <c:crosses val="autoZero"/>
        <c:auto val="1"/>
        <c:lblAlgn val="ctr"/>
        <c:lblOffset val="100"/>
        <c:noMultiLvlLbl val="0"/>
      </c:catAx>
      <c:valAx>
        <c:axId val="2757285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7573019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Муниципальная форма собственности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Лист1!$B$17</c:f>
              <c:strCache>
                <c:ptCount val="1"/>
                <c:pt idx="0">
                  <c:v>Муниципальная 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numRef>
              <c:f>Лист1!$C$16:$G$16</c:f>
              <c:numCache>
                <c:formatCode>General</c:formatCode>
                <c:ptCount val="5"/>
                <c:pt idx="0">
                  <c:v>2000</c:v>
                </c:pt>
                <c:pt idx="1">
                  <c:v>2010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</c:numCache>
            </c:numRef>
          </c:cat>
          <c:val>
            <c:numRef>
              <c:f>Лист1!$C$17:$G$17</c:f>
              <c:numCache>
                <c:formatCode>General</c:formatCode>
                <c:ptCount val="5"/>
                <c:pt idx="0">
                  <c:v>217</c:v>
                </c:pt>
                <c:pt idx="1">
                  <c:v>246</c:v>
                </c:pt>
                <c:pt idx="2">
                  <c:v>196</c:v>
                </c:pt>
                <c:pt idx="3">
                  <c:v>190</c:v>
                </c:pt>
                <c:pt idx="4">
                  <c:v>185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C034-40A6-9C39-4EC54134602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68200448"/>
        <c:axId val="268200864"/>
      </c:lineChart>
      <c:catAx>
        <c:axId val="2682004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68200864"/>
        <c:crosses val="autoZero"/>
        <c:auto val="1"/>
        <c:lblAlgn val="ctr"/>
        <c:lblOffset val="100"/>
        <c:noMultiLvlLbl val="0"/>
      </c:catAx>
      <c:valAx>
        <c:axId val="2682008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682004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Частная форма собственности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Лист1!$B$22</c:f>
              <c:strCache>
                <c:ptCount val="1"/>
                <c:pt idx="0">
                  <c:v>Частная 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numRef>
              <c:f>Лист1!$C$21:$G$21</c:f>
              <c:numCache>
                <c:formatCode>General</c:formatCode>
                <c:ptCount val="5"/>
                <c:pt idx="0">
                  <c:v>2000</c:v>
                </c:pt>
                <c:pt idx="1">
                  <c:v>2010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</c:numCache>
            </c:numRef>
          </c:cat>
          <c:val>
            <c:numRef>
              <c:f>Лист1!$C$22:$G$22</c:f>
              <c:numCache>
                <c:formatCode>General</c:formatCode>
                <c:ptCount val="5"/>
                <c:pt idx="0">
                  <c:v>2510</c:v>
                </c:pt>
                <c:pt idx="1">
                  <c:v>4104</c:v>
                </c:pt>
                <c:pt idx="2">
                  <c:v>3936</c:v>
                </c:pt>
                <c:pt idx="3">
                  <c:v>3620</c:v>
                </c:pt>
                <c:pt idx="4">
                  <c:v>3261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BB1C-455A-A307-CEFEC79A480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61306992"/>
        <c:axId val="261307408"/>
      </c:lineChart>
      <c:catAx>
        <c:axId val="2613069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61307408"/>
        <c:crosses val="autoZero"/>
        <c:auto val="1"/>
        <c:lblAlgn val="ctr"/>
        <c:lblOffset val="100"/>
        <c:noMultiLvlLbl val="0"/>
      </c:catAx>
      <c:valAx>
        <c:axId val="2613074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6130699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Число</a:t>
            </a:r>
            <a:r>
              <a:rPr lang="ru-RU" baseline="0"/>
              <a:t> организаций и предприятий по ф</a:t>
            </a:r>
            <a:r>
              <a:rPr lang="ru-RU"/>
              <a:t>орме</a:t>
            </a:r>
            <a:r>
              <a:rPr lang="ru-RU" baseline="0"/>
              <a:t> собственности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299B-445F-B71E-9541BB8B3BE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299B-445F-B71E-9541BB8B3BEA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299B-445F-B71E-9541BB8B3BEA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299B-445F-B71E-9541BB8B3BEA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299B-445F-B71E-9541BB8B3BEA}"/>
              </c:ext>
            </c:extLst>
          </c:dPt>
          <c:cat>
            <c:strRef>
              <c:f>Лист2!$B$4:$B$9</c:f>
              <c:strCache>
                <c:ptCount val="6"/>
                <c:pt idx="0">
                  <c:v>Государственная </c:v>
                </c:pt>
                <c:pt idx="1">
                  <c:v>Муниципальная </c:v>
                </c:pt>
                <c:pt idx="2">
                  <c:v>Частная </c:v>
                </c:pt>
                <c:pt idx="3">
                  <c:v>Собственность общественных религизных</c:v>
                </c:pt>
                <c:pt idx="4">
                  <c:v>прочие формы собственности </c:v>
                </c:pt>
                <c:pt idx="5">
                  <c:v>число предприятий и орагинзаций всего </c:v>
                </c:pt>
              </c:strCache>
            </c:strRef>
          </c:cat>
          <c:val>
            <c:numRef>
              <c:f>Лист2!$G$4:$G$8</c:f>
              <c:numCache>
                <c:formatCode>General</c:formatCode>
                <c:ptCount val="5"/>
                <c:pt idx="0">
                  <c:v>2.5</c:v>
                </c:pt>
                <c:pt idx="1">
                  <c:v>4.8</c:v>
                </c:pt>
                <c:pt idx="2">
                  <c:v>85.2</c:v>
                </c:pt>
                <c:pt idx="3">
                  <c:v>3.5</c:v>
                </c:pt>
                <c:pt idx="4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299B-445F-B71E-9541BB8B3BE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6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2021-03-12T04:22:00Z</dcterms:created>
  <dcterms:modified xsi:type="dcterms:W3CDTF">2021-03-12T06:30:00Z</dcterms:modified>
</cp:coreProperties>
</file>